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AEDF6" w14:textId="77777777" w:rsidR="00C63438" w:rsidRDefault="00C63438" w:rsidP="0078008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C35A200" w14:textId="0A179AD1" w:rsidR="00BF0BD8" w:rsidRPr="00B0447E" w:rsidRDefault="00BF0BD8" w:rsidP="0078008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447E">
        <w:rPr>
          <w:rFonts w:asciiTheme="minorHAnsi" w:hAnsiTheme="minorHAnsi" w:cstheme="minorHAnsi"/>
          <w:sz w:val="22"/>
          <w:szCs w:val="22"/>
        </w:rPr>
        <w:t>INFORMACJA PRASOWA</w:t>
      </w:r>
    </w:p>
    <w:p w14:paraId="2C56C44D" w14:textId="0C46D9B7" w:rsidR="00D4794D" w:rsidRPr="00B0447E" w:rsidRDefault="002C4A74" w:rsidP="0078008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4794D" w:rsidRPr="00B0447E">
        <w:rPr>
          <w:rFonts w:asciiTheme="minorHAnsi" w:hAnsiTheme="minorHAnsi" w:cstheme="minorHAnsi"/>
          <w:sz w:val="22"/>
          <w:szCs w:val="22"/>
        </w:rPr>
        <w:t>.</w:t>
      </w:r>
      <w:r w:rsidR="00B80FD8" w:rsidRPr="00B0447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D4794D" w:rsidRPr="00B0447E">
        <w:rPr>
          <w:rFonts w:asciiTheme="minorHAnsi" w:hAnsiTheme="minorHAnsi" w:cstheme="minorHAnsi"/>
          <w:sz w:val="22"/>
          <w:szCs w:val="22"/>
        </w:rPr>
        <w:t>.2021</w:t>
      </w:r>
    </w:p>
    <w:p w14:paraId="2C79B924" w14:textId="77777777" w:rsidR="00D4794D" w:rsidRPr="00B0447E" w:rsidRDefault="00D4794D" w:rsidP="007800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F05A2D" w14:textId="77777777" w:rsidR="00B80FD8" w:rsidRPr="00B0447E" w:rsidRDefault="00B80FD8" w:rsidP="00B80FD8">
      <w:pPr>
        <w:widowControl/>
        <w:suppressAutoHyphens w:val="0"/>
        <w:spacing w:line="240" w:lineRule="auto"/>
        <w:jc w:val="center"/>
        <w:rPr>
          <w:rFonts w:ascii="Lato" w:eastAsia="Times New Roman" w:hAnsi="Lato"/>
          <w:b/>
          <w:bCs/>
          <w:color w:val="000000"/>
          <w:kern w:val="0"/>
          <w:lang w:eastAsia="en-US"/>
        </w:rPr>
      </w:pPr>
    </w:p>
    <w:p w14:paraId="383845B3" w14:textId="4DB3F6BD" w:rsidR="00645024" w:rsidRPr="0013267A" w:rsidRDefault="00645024" w:rsidP="00645024">
      <w:pPr>
        <w:widowControl/>
        <w:suppressAutoHyphens w:val="0"/>
        <w:spacing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</w:pPr>
      <w:bookmarkStart w:id="0" w:name="_Hlk88665656"/>
      <w:r w:rsidRPr="0013267A"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  <w:t>25 lat centrów handlowych w Polsce – przyszło</w:t>
      </w:r>
      <w:r w:rsidR="00AB72BB" w:rsidRPr="0013267A"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  <w:t>ścią</w:t>
      </w:r>
      <w:r w:rsidRPr="0013267A"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  <w:t xml:space="preserve"> wielu nieruchomości handlowych </w:t>
      </w:r>
      <w:r w:rsidR="00AB72BB" w:rsidRPr="0013267A"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  <w:t xml:space="preserve">są </w:t>
      </w:r>
      <w:r w:rsidRPr="0013267A">
        <w:rPr>
          <w:rFonts w:ascii="Calibri" w:eastAsia="Times New Roman" w:hAnsi="Calibri" w:cs="Calibri"/>
          <w:b/>
          <w:bCs/>
          <w:caps/>
          <w:color w:val="000000"/>
          <w:kern w:val="0"/>
          <w:sz w:val="22"/>
          <w:szCs w:val="22"/>
          <w:lang w:eastAsia="en-US"/>
        </w:rPr>
        <w:t>przebudowy i modernizacje</w:t>
      </w:r>
    </w:p>
    <w:p w14:paraId="61D6C7E8" w14:textId="77777777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</w:p>
    <w:p w14:paraId="59FA5E62" w14:textId="77E6FECB" w:rsidR="00645024" w:rsidRDefault="00645024" w:rsidP="00645024">
      <w:pPr>
        <w:widowControl/>
        <w:suppressAutoHyphens w:val="0"/>
        <w:spacing w:line="240" w:lineRule="auto"/>
        <w:jc w:val="both"/>
        <w:rPr>
          <w:rFonts w:ascii="Trebuchet MS" w:hAnsi="Trebuchet MS"/>
          <w:b/>
          <w:bCs/>
          <w:color w:val="0E1317"/>
          <w:sz w:val="18"/>
          <w:szCs w:val="18"/>
          <w:shd w:val="clear" w:color="auto" w:fill="FFFFFF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Historia centrów handlowych w Polsce liczy ponad ćwierć wieku. Z danych Polskiej Rady Centrów Handlowych (PRCH) wynika, że w Polsce działa obecnie ok. 560 centrów i parków handlowych o powierzchni powyżej 5000 mkw. </w:t>
      </w:r>
      <w:r w:rsidR="00AB72BB"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P</w:t>
      </w: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ołowa </w:t>
      </w:r>
      <w:r w:rsidR="00AB72BB"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z nich</w:t>
      </w: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 funkcjonuje na rynku już ponad dekadę, ponad 30 procent ma więcej niż 15 lat, a niektóre obchodziły 20-lecie. W okresie najbardziej intensywnego rozwoju </w:t>
      </w:r>
      <w:r w:rsidR="00AB72BB"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polskiej branży centrów handlowych</w:t>
      </w: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 powstawało ponad 30 obiektów rocznie.</w:t>
      </w:r>
      <w:r w:rsidR="00A150A7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FE3AC9" w:rsidRPr="00FE3AC9">
        <w:rPr>
          <w:rFonts w:asciiTheme="minorHAnsi" w:hAnsiTheme="minorHAnsi" w:cstheme="minorHAnsi"/>
          <w:b/>
          <w:bCs/>
          <w:color w:val="0E1317"/>
          <w:sz w:val="22"/>
          <w:szCs w:val="22"/>
          <w:shd w:val="clear" w:color="auto" w:fill="FFFFFF"/>
        </w:rPr>
        <w:t xml:space="preserve">PRCH przeanalizowała wiek obiektów handlowych w Polsce i </w:t>
      </w:r>
      <w:r w:rsidR="00FE3AC9">
        <w:rPr>
          <w:rFonts w:asciiTheme="minorHAnsi" w:hAnsiTheme="minorHAnsi" w:cstheme="minorHAnsi"/>
          <w:b/>
          <w:bCs/>
          <w:color w:val="0E1317"/>
          <w:sz w:val="22"/>
          <w:szCs w:val="22"/>
          <w:shd w:val="clear" w:color="auto" w:fill="FFFFFF"/>
        </w:rPr>
        <w:t xml:space="preserve">przygotowała </w:t>
      </w:r>
      <w:r w:rsidR="00FE3AC9" w:rsidRPr="00FE3AC9">
        <w:rPr>
          <w:rFonts w:asciiTheme="minorHAnsi" w:hAnsiTheme="minorHAnsi" w:cstheme="minorHAnsi"/>
          <w:b/>
          <w:bCs/>
          <w:color w:val="0E1317"/>
          <w:sz w:val="22"/>
          <w:szCs w:val="22"/>
          <w:shd w:val="clear" w:color="auto" w:fill="FFFFFF"/>
        </w:rPr>
        <w:t>opracowanie „Przebudowa, rozbudowa, modernizacja dla nieruchomości handlowych”, którego partnerem jest Reesco Retail.</w:t>
      </w:r>
    </w:p>
    <w:p w14:paraId="100C21DA" w14:textId="77777777" w:rsidR="00FE3AC9" w:rsidRPr="00B825F8" w:rsidRDefault="00FE3AC9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/>
        </w:rPr>
      </w:pPr>
    </w:p>
    <w:p w14:paraId="7503C8FD" w14:textId="33A4DA69" w:rsidR="00645024" w:rsidRPr="00B825F8" w:rsidRDefault="00A150A7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– 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Handel w Polsce na przestrzeni ostatnich dekad bardzo szybko się zmieniał. Dlatego </w:t>
      </w:r>
      <w:r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przyjrzeliśmy się historii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polskich centrów handlowych i zaprosiliśmy do współpracy</w:t>
      </w:r>
      <w:r w:rsidR="00314FA3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nad ich przyszłością 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ekspertów, którzy na co dzień prowadzą lub wspierają procesy modernizacji obiektów w różnych obszarach </w:t>
      </w:r>
      <w:r w:rsidR="00645024" w:rsidRPr="00B825F8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– mówi </w:t>
      </w:r>
      <w:r w:rsidR="00645024" w:rsidRPr="00B825F8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Krzysztof Poznański</w:t>
      </w:r>
      <w:r w:rsidR="00645024" w:rsidRPr="00B825F8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, dyrektor zarządzający PRCH.</w:t>
      </w:r>
    </w:p>
    <w:p w14:paraId="2D4287A0" w14:textId="77777777" w:rsidR="00645024" w:rsidRPr="00B825F8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6C59C663" w14:textId="03EB9DB2" w:rsidR="00645024" w:rsidRPr="00B825F8" w:rsidRDefault="00A150A7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– 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US"/>
        </w:rPr>
        <w:t>Przebudowy obiektów handlowych są wpisane w cykl życia każdej inwestycji. Dynamicznie zmieniający się styl życia i potrzeby konsumentów,</w:t>
      </w:r>
      <w:r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US"/>
        </w:rPr>
        <w:t xml:space="preserve"> postęp technologiczny,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US"/>
        </w:rPr>
        <w:t xml:space="preserve"> a także rosnąca popularność e-commerce sprawiają, że pojęcie atrakcyjności centrum handlowego jest stale redefiniowane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– podkreśla </w:t>
      </w:r>
      <w:r w:rsidR="00645024"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Lucyna Śliż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, Head of Development, Reesco Retail. </w:t>
      </w:r>
    </w:p>
    <w:p w14:paraId="4B1CA5D2" w14:textId="77777777" w:rsidR="00645024" w:rsidRPr="00B825F8" w:rsidRDefault="00645024" w:rsidP="00645024">
      <w:pPr>
        <w:widowControl/>
        <w:suppressAutoHyphens w:val="0"/>
        <w:spacing w:line="24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bdr w:val="none" w:sz="0" w:space="0" w:color="auto" w:frame="1"/>
          <w:lang w:eastAsia="en-US"/>
        </w:rPr>
      </w:pPr>
    </w:p>
    <w:p w14:paraId="49F38BA8" w14:textId="77777777" w:rsidR="00645024" w:rsidRPr="00B825F8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25 lat miejsc handlu w Polsce</w:t>
      </w:r>
    </w:p>
    <w:p w14:paraId="1F419A1A" w14:textId="77777777" w:rsidR="00645024" w:rsidRPr="00B825F8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4AC0FA71" w14:textId="5499A2A9" w:rsidR="00645024" w:rsidRPr="00B825F8" w:rsidRDefault="00645024" w:rsidP="00B825F8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Centra handlowe są symbolem gospodarki wolnorynkowej, która rozpoczęła nową erę w polskim handlu po 1989 roku. </w:t>
      </w:r>
      <w:r w:rsidR="00A150A7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Są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formą handlu uporządkowanego i nowoczesnego</w:t>
      </w:r>
      <w:r w:rsidR="00011B0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.</w:t>
      </w:r>
      <w:r w:rsidR="00C6343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Kiedy </w:t>
      </w:r>
      <w:r w:rsidR="00B0447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około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1993 roku w Polsce pojawiały się pierwsze </w:t>
      </w:r>
      <w:r w:rsidR="00B0447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nowoczesne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obiekty handlowe (np. warszawska Promenada), kwitł handel uliczny i bazarowy, w tym miejsca podobne do Stadionu Dziesięciolecia czy </w:t>
      </w:r>
      <w:r w:rsidR="00B0447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p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lacu Defilad pod Pałacem Kultury</w:t>
      </w:r>
      <w:r w:rsidR="00B0447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i Nauki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w Warszawie. </w:t>
      </w:r>
    </w:p>
    <w:p w14:paraId="6854A7B3" w14:textId="36B0AB09" w:rsidR="00645024" w:rsidRPr="00B825F8" w:rsidRDefault="00B0447E" w:rsidP="00645024">
      <w:pPr>
        <w:widowControl/>
        <w:shd w:val="clear" w:color="auto" w:fill="FFFFFF"/>
        <w:suppressAutoHyphens w:val="0"/>
        <w:spacing w:before="100" w:beforeAutospacing="1" w:after="100" w:afterAutospacing="1" w:line="235" w:lineRule="atLeast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Na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lata 1997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-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2002 przypada pierwszy okres powstawania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na szeroką skalę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nowoczesnych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centrów handlowych – zazwyczaj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z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lokalizowanych w centrach miast lub wokół dużych hipermarketów na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obrzeżach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metropolii. Hipermarkety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były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pierwsz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ymi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destynacjami zakupowymi -</w:t>
      </w:r>
      <w:r w:rsidR="00C6343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wygodn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ymi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i dostępn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ymi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dla klientów. Stawały się ulubionymi celami wycieczek po zakupy. Wokół nich powstawały sklepy, punkty usługowe. Dziś to obiekty często ponad dwudziestoletnie, charakteryzujące się doskonałą lokalizacją, wysoką rozpoznawalnością i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gronem lojalnych klientów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.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Dostrzegając ich wielki potencjał w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łaściciele inwestują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w ich modernizację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lub przebudowę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. </w:t>
      </w:r>
    </w:p>
    <w:p w14:paraId="12B27863" w14:textId="02EFDA61" w:rsidR="00645024" w:rsidRPr="00B825F8" w:rsidRDefault="00645024" w:rsidP="00645024">
      <w:pPr>
        <w:widowControl/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lastRenderedPageBreak/>
        <w:t>Dekada</w:t>
      </w:r>
      <w:r w:rsidR="00B0447E"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 dynamicznego rozwoju</w:t>
      </w:r>
    </w:p>
    <w:p w14:paraId="63C13931" w14:textId="46997FCC" w:rsidR="00645024" w:rsidRPr="00B825F8" w:rsidRDefault="00645024" w:rsidP="00645024">
      <w:pPr>
        <w:widowControl/>
        <w:shd w:val="clear" w:color="auto" w:fill="FFFFFF"/>
        <w:suppressAutoHyphens w:val="0"/>
        <w:spacing w:before="100" w:beforeAutospacing="1" w:after="100" w:afterAutospacing="1" w:line="235" w:lineRule="atLeast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Pomiędzy 2005 a 2015 rokiem trwał czas </w:t>
      </w:r>
      <w:r w:rsidR="00B0447E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dynamicznego rozwoju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branży, będący okresem największego wzrostu liczby i powierzchni obiektów handlowych w Polsce. </w:t>
      </w:r>
      <w:r w:rsidRPr="00B825F8">
        <w:rPr>
          <w:rFonts w:ascii="Calibri" w:eastAsia="MS Mincho" w:hAnsi="Calibri" w:cs="Calibri"/>
          <w:color w:val="000000"/>
          <w:kern w:val="0"/>
          <w:sz w:val="22"/>
          <w:szCs w:val="22"/>
          <w:lang w:eastAsia="en-US"/>
        </w:rPr>
        <w:t xml:space="preserve">Zaczęły powstawać </w:t>
      </w:r>
      <w:r w:rsidR="00DF133A" w:rsidRPr="00B825F8">
        <w:rPr>
          <w:rFonts w:ascii="Calibri" w:eastAsia="MS Mincho" w:hAnsi="Calibri" w:cs="Calibri"/>
          <w:color w:val="000000"/>
          <w:kern w:val="0"/>
          <w:sz w:val="22"/>
          <w:szCs w:val="22"/>
          <w:lang w:eastAsia="en-US"/>
        </w:rPr>
        <w:t>centra handlowe</w:t>
      </w:r>
      <w:r w:rsidRPr="00B825F8">
        <w:rPr>
          <w:rFonts w:ascii="Calibri" w:eastAsia="MS Mincho" w:hAnsi="Calibri" w:cs="Calibri"/>
          <w:color w:val="000000"/>
          <w:kern w:val="0"/>
          <w:sz w:val="22"/>
          <w:szCs w:val="22"/>
          <w:lang w:eastAsia="en-US"/>
        </w:rPr>
        <w:t xml:space="preserve"> z bardzo szeroką ofertą zakupową, gastronomiczną</w:t>
      </w:r>
      <w:r w:rsidR="00DF133A" w:rsidRPr="00B825F8">
        <w:rPr>
          <w:rFonts w:ascii="Calibri" w:eastAsia="MS Mincho" w:hAnsi="Calibri" w:cs="Calibri"/>
          <w:color w:val="000000"/>
          <w:kern w:val="0"/>
          <w:sz w:val="22"/>
          <w:szCs w:val="22"/>
          <w:lang w:eastAsia="en-US"/>
        </w:rPr>
        <w:t xml:space="preserve"> i</w:t>
      </w:r>
      <w:r w:rsidRPr="00B825F8">
        <w:rPr>
          <w:rFonts w:ascii="Calibri" w:eastAsia="MS Mincho" w:hAnsi="Calibri" w:cs="Calibri"/>
          <w:color w:val="000000"/>
          <w:kern w:val="0"/>
          <w:sz w:val="22"/>
          <w:szCs w:val="22"/>
          <w:lang w:eastAsia="en-US"/>
        </w:rPr>
        <w:t xml:space="preserve"> rozrywkową.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Podczas wspomnianej dekady otworzono w Polsce 298 obiektów.</w:t>
      </w:r>
    </w:p>
    <w:p w14:paraId="06BBF4BB" w14:textId="250208A9" w:rsidR="00645024" w:rsidRPr="00B825F8" w:rsidRDefault="00DF133A" w:rsidP="00645024">
      <w:pPr>
        <w:widowControl/>
        <w:shd w:val="clear" w:color="auto" w:fill="FFFFFF"/>
        <w:suppressAutoHyphens w:val="0"/>
        <w:spacing w:before="100" w:beforeAutospacing="1" w:after="100" w:afterAutospacing="1" w:line="235" w:lineRule="atLeast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C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entra budowane w tym czasie mają obecnie od 6 do 16 lat. Właściciele regularnie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inwestują w nie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, wprowadzają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c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nowoczesne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rozwiązania zgodne z oczekiwaniami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i potrzebami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klientów, zmieniającymi się trendami, modą, wymaganiami estetycznymi i funkcjonalnymi. Powiększane są strefy gastronomiczne, otwierane kina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i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miejsca rozrywki. Często na nowo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zagospodarowuje się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teren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wokół obiektów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, zgodnie z potrzebami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współczesnego świata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: powiększane są obszary zielone, trawniki bywają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zamieniane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na łąki kwietne,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powstają budki dla owadów i ptaków, a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dla klientów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otwierane są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 strefy food </w:t>
      </w:r>
      <w:r w:rsidR="00C63438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tr</w:t>
      </w:r>
      <w:r w:rsidR="00C6343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u</w:t>
      </w:r>
      <w:r w:rsidR="00C63438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ckowe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. Na nowo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zagospodarowane 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 xml:space="preserve">są nawet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dachy</w:t>
      </w: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, na których można znaleźć ule lub ogródki ziołowe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.</w:t>
      </w:r>
    </w:p>
    <w:p w14:paraId="73A85AEF" w14:textId="77777777" w:rsidR="00645024" w:rsidRPr="00B825F8" w:rsidRDefault="00645024" w:rsidP="00645024">
      <w:pPr>
        <w:widowControl/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Ostatnie lata – dojrzałość i nasycenie rynku</w:t>
      </w:r>
    </w:p>
    <w:p w14:paraId="1CB57B16" w14:textId="64B6948D" w:rsidR="00645024" w:rsidRPr="00B825F8" w:rsidRDefault="00645024" w:rsidP="00645024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</w:pPr>
      <w:r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>Polski rynek centrów handlowych można</w:t>
      </w:r>
      <w:r w:rsidR="00DF133A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 obecnie</w:t>
      </w:r>
      <w:r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 uznać za dojrzały. Raport PRCH Retail Research Forum za pierwsze półrocze 2021 roku </w:t>
      </w:r>
      <w:r w:rsidR="00DF133A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>pod</w:t>
      </w:r>
      <w:r w:rsidR="001409D4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>a</w:t>
      </w:r>
      <w:r w:rsidR="00DF133A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>je</w:t>
      </w:r>
      <w:r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>, że poziom nasycenia powierzchnią handlową</w:t>
      </w:r>
      <w:r w:rsidR="00DF133A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 wynosi</w:t>
      </w:r>
      <w:r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 328 mkw. GLA na 1000 mieszkańców, a po zakończeniu trwających inwestycji osiągnie on wskaźnik 341 mkw</w:t>
      </w:r>
      <w:r w:rsidR="00DF133A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. na </w:t>
      </w:r>
      <w:r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100 mieszkańców. Wynik jest porównywalny ze średnimi wskaźnikami dla UE. </w:t>
      </w:r>
    </w:p>
    <w:p w14:paraId="793FC2FF" w14:textId="29FC33A0" w:rsidR="00645024" w:rsidRPr="00B825F8" w:rsidRDefault="00DF133A" w:rsidP="00645024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>–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 xml:space="preserve"> Dekada dynamicznego powstawania nowych obiektów na stale nienasyconym rynku jest już za nami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>.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D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ziś buduje się zazwyczaj parki handlowe zlokalizowane wokół nowych osiedli lub w mniejszych miejscowościach oraz centra wyprzedażowe, często na obrzeżach miast. Jeśli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zapada decyzja o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rozpoczęciu 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większ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ej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inwestycj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i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– jest to zazwyczaj centrum klasy</w:t>
      </w:r>
      <w:r w:rsidR="00B24955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premium, wielofunkcyjne i bardzo nowoczesne, przyciągające unikatowym tenant mixem. To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odpowiedź </w:t>
      </w:r>
      <w:r w:rsidR="00645024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na nasycenie i dojrzałość rynku oraz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 xml:space="preserve">próba znalezienia swojej niszy 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 xml:space="preserve">– </w:t>
      </w:r>
      <w:r w:rsidR="00857256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komentuje </w:t>
      </w:r>
      <w:r w:rsidR="00857256" w:rsidRPr="00B825F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FFFFFF"/>
          <w:lang w:eastAsia="en-US"/>
        </w:rPr>
        <w:t>Krzysztof Poznański</w:t>
      </w:r>
      <w:r w:rsidR="00857256" w:rsidRPr="00B825F8">
        <w:rPr>
          <w:rFonts w:ascii="Calibri" w:eastAsia="Times New Roman" w:hAnsi="Calibri" w:cs="Calibri"/>
          <w:kern w:val="0"/>
          <w:sz w:val="22"/>
          <w:szCs w:val="22"/>
          <w:shd w:val="clear" w:color="auto" w:fill="FFFFFF"/>
          <w:lang w:eastAsia="en-US"/>
        </w:rPr>
        <w:t xml:space="preserve"> z PRCH.</w:t>
      </w:r>
      <w:r w:rsidR="00857256" w:rsidRPr="00B825F8">
        <w:rPr>
          <w:rFonts w:ascii="Calibri" w:eastAsia="Times New Roman" w:hAnsi="Calibri" w:cs="Calibri"/>
          <w:i/>
          <w:iCs/>
          <w:kern w:val="0"/>
          <w:sz w:val="22"/>
          <w:szCs w:val="22"/>
          <w:shd w:val="clear" w:color="auto" w:fill="FFFFFF"/>
          <w:lang w:eastAsia="en-US"/>
        </w:rPr>
        <w:t xml:space="preserve"> </w:t>
      </w:r>
    </w:p>
    <w:p w14:paraId="1E289FD5" w14:textId="77777777" w:rsidR="00645024" w:rsidRPr="00B825F8" w:rsidRDefault="00645024" w:rsidP="00645024">
      <w:pPr>
        <w:widowControl/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Trendy i przyszłość rynku</w:t>
      </w:r>
    </w:p>
    <w:p w14:paraId="137A5BA8" w14:textId="77777777" w:rsidR="00A03D18" w:rsidRDefault="00857256" w:rsidP="00314FA3">
      <w:pPr>
        <w:widowControl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</w:pP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W odpowiedzi na 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widoczne </w:t>
      </w: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nasycenie 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rynku nieruchomości handlowych właściciele </w:t>
      </w: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decydują się na 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poszerzenie, a nawet zmianę funkcji istniejących obiektów, </w:t>
      </w: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ich 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repozycjonowanie oraz </w:t>
      </w: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podejmują 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działania </w:t>
      </w:r>
      <w:r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>marketingowe</w:t>
      </w:r>
      <w:r w:rsidR="00645024" w:rsidRPr="00B825F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  <w:t xml:space="preserve"> ściągające nowych, często nieoczywistych najemców, a wraz z nimi – klientów. </w:t>
      </w:r>
    </w:p>
    <w:p w14:paraId="205F91FD" w14:textId="77777777" w:rsidR="00A03D18" w:rsidRDefault="00A03D18" w:rsidP="00314FA3">
      <w:pPr>
        <w:widowControl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</w:pPr>
    </w:p>
    <w:p w14:paraId="4A5C294D" w14:textId="77777777" w:rsidR="00A03D18" w:rsidRDefault="00645024" w:rsidP="00314FA3">
      <w:pPr>
        <w:widowControl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825F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Widoczny jest także trend modernizacji istniejących centrów handlowych o wysokiej rozpoznawalności, cieszących się dużym zaufaniem klientów i wysoką odwiedzalnością. Te obiekty są przygotowane do zmian, dbają o lojalnych klientów, zabiegając o nowe grupy konsumentów. I to one będą się unowocześniać dostosowując do nowych oczekiwań i potrzeb nie tylko ludzi, ale i środowiska. </w:t>
      </w:r>
      <w:r w:rsidR="00314FA3" w:rsidRPr="00B825F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Zmieniają się bowiem klienci i ich oczekiwania. </w:t>
      </w:r>
    </w:p>
    <w:p w14:paraId="170D31B5" w14:textId="77777777" w:rsidR="00A03D18" w:rsidRDefault="00A03D18" w:rsidP="00314FA3">
      <w:pPr>
        <w:widowControl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A8DD120" w14:textId="4B5556B1" w:rsidR="00314FA3" w:rsidRPr="00B825F8" w:rsidRDefault="00314FA3" w:rsidP="00314FA3">
      <w:pPr>
        <w:widowControl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/>
        </w:rPr>
      </w:pPr>
      <w:r w:rsidRPr="00B825F8">
        <w:rPr>
          <w:rFonts w:asciiTheme="minorHAnsi" w:eastAsia="Times New Roman" w:hAnsiTheme="minorHAnsi" w:cstheme="minorHAnsi"/>
          <w:sz w:val="22"/>
          <w:szCs w:val="22"/>
        </w:rPr>
        <w:t>Według ICSC</w:t>
      </w:r>
      <w:r w:rsidR="002B4AB3">
        <w:rPr>
          <w:rFonts w:asciiTheme="minorHAnsi" w:eastAsia="Times New Roman" w:hAnsiTheme="minorHAnsi" w:cstheme="minorHAnsi"/>
          <w:sz w:val="22"/>
          <w:szCs w:val="22"/>
        </w:rPr>
        <w:t xml:space="preserve"> (International Council of Shopping Centres)</w:t>
      </w:r>
      <w:r w:rsidRPr="00B825F8">
        <w:rPr>
          <w:rFonts w:asciiTheme="minorHAnsi" w:eastAsia="Times New Roman" w:hAnsiTheme="minorHAnsi" w:cstheme="minorHAnsi"/>
          <w:sz w:val="22"/>
          <w:szCs w:val="22"/>
        </w:rPr>
        <w:t xml:space="preserve"> ponad 50% odwiedzających centra handlowe oczekuje zróżnicowanej oferty restauracyjnej, a 40% z nich chętnie łączyłoby zakupy z rozrywką.</w:t>
      </w:r>
      <w:r w:rsidRPr="00B825F8">
        <w:rPr>
          <w:rFonts w:asciiTheme="minorHAnsi" w:hAnsiTheme="minorHAnsi" w:cstheme="minorHAnsi"/>
          <w:sz w:val="22"/>
          <w:szCs w:val="22"/>
        </w:rPr>
        <w:t xml:space="preserve"> </w:t>
      </w:r>
      <w:r w:rsidR="002B4AB3">
        <w:rPr>
          <w:rFonts w:asciiTheme="minorHAnsi" w:hAnsiTheme="minorHAnsi" w:cstheme="minorHAnsi"/>
          <w:sz w:val="22"/>
          <w:szCs w:val="22"/>
        </w:rPr>
        <w:t xml:space="preserve">Gastronomia </w:t>
      </w:r>
      <w:r w:rsidRPr="00B825F8">
        <w:rPr>
          <w:rFonts w:asciiTheme="minorHAnsi" w:hAnsiTheme="minorHAnsi" w:cstheme="minorHAnsi"/>
          <w:sz w:val="22"/>
          <w:szCs w:val="22"/>
        </w:rPr>
        <w:t>i rozrywka historycznie stanowiły od 5% do 7% powierzchni centrów, a obecnie jest to od 10% do 15%. Oczekuje wzrostu do około 20% w przyszłości. Pojawiają się strefy coworkingowe, bo</w:t>
      </w:r>
      <w:r w:rsidR="00933D7A" w:rsidRPr="00B825F8">
        <w:rPr>
          <w:rFonts w:asciiTheme="minorHAnsi" w:hAnsiTheme="minorHAnsi" w:cstheme="minorHAnsi"/>
          <w:sz w:val="22"/>
          <w:szCs w:val="22"/>
        </w:rPr>
        <w:t xml:space="preserve"> coraz częściej</w:t>
      </w:r>
      <w:r w:rsidRPr="00B825F8">
        <w:rPr>
          <w:rFonts w:asciiTheme="minorHAnsi" w:hAnsiTheme="minorHAnsi" w:cstheme="minorHAnsi"/>
          <w:sz w:val="22"/>
          <w:szCs w:val="22"/>
        </w:rPr>
        <w:t xml:space="preserve"> pracujemy nie tylko z biura</w:t>
      </w:r>
      <w:r w:rsidR="00933D7A" w:rsidRPr="00B825F8">
        <w:rPr>
          <w:rFonts w:asciiTheme="minorHAnsi" w:hAnsiTheme="minorHAnsi" w:cstheme="minorHAnsi"/>
          <w:sz w:val="22"/>
          <w:szCs w:val="22"/>
        </w:rPr>
        <w:t xml:space="preserve">. Poza tym budynki się starzeją, zmienia się też moda i styl w architekturze. Dzielnice także się zmieniają, a centra powinny być wyjątkowe i dostosowane do lokalnych potrzeb. Ponadto w obiektach wymieniają się najemcy, którzy mają inne koncepty i trzeba do nich dostosować przestrzeń. Parkingi w ciągu lat musiały się rozwijać wraz ze zwiększającą się liczbą samochodów, a obecnie wymagane są miejsca dla rowerów i hulajnóg. Powstają miejsca do ładowania nie tylko telefonów czy tabletów, ale i samochodów. Obiekty nadążają za technologiami, zmieniają oświetlenie na ledowe, dbając o środowisko i zasoby. </w:t>
      </w:r>
      <w:r w:rsidR="006A11F4" w:rsidRPr="00B825F8">
        <w:rPr>
          <w:rFonts w:asciiTheme="minorHAnsi" w:hAnsiTheme="minorHAnsi" w:cstheme="minorHAnsi"/>
          <w:sz w:val="22"/>
          <w:szCs w:val="22"/>
        </w:rPr>
        <w:t>Dzisiaj</w:t>
      </w:r>
      <w:r w:rsidR="00933D7A" w:rsidRPr="00B825F8">
        <w:rPr>
          <w:rFonts w:asciiTheme="minorHAnsi" w:hAnsiTheme="minorHAnsi" w:cstheme="minorHAnsi"/>
          <w:sz w:val="22"/>
          <w:szCs w:val="22"/>
        </w:rPr>
        <w:t xml:space="preserve"> nowoczesność to zrównoważony rozwój. Istnieje także i rozwija się wielokanałowa sprzedaż (tzw. omnichanel), a z</w:t>
      </w:r>
      <w:r w:rsidR="006A11F4" w:rsidRPr="00B825F8">
        <w:rPr>
          <w:rFonts w:asciiTheme="minorHAnsi" w:hAnsiTheme="minorHAnsi" w:cstheme="minorHAnsi"/>
          <w:sz w:val="22"/>
          <w:szCs w:val="22"/>
        </w:rPr>
        <w:t xml:space="preserve"> </w:t>
      </w:r>
      <w:r w:rsidR="00933D7A" w:rsidRPr="00B825F8">
        <w:rPr>
          <w:rFonts w:asciiTheme="minorHAnsi" w:hAnsiTheme="minorHAnsi" w:cstheme="minorHAnsi"/>
          <w:sz w:val="22"/>
          <w:szCs w:val="22"/>
        </w:rPr>
        <w:t xml:space="preserve">niej wynika choćby konieczność zapewnienia paczkomatów, a także showroomów, cyfrowych luster czy też tabletów do poznawania oferty. Centra zmieniają </w:t>
      </w:r>
      <w:r w:rsidR="006A11F4" w:rsidRPr="00B825F8">
        <w:rPr>
          <w:rFonts w:asciiTheme="minorHAnsi" w:hAnsiTheme="minorHAnsi" w:cstheme="minorHAnsi"/>
          <w:sz w:val="22"/>
          <w:szCs w:val="22"/>
        </w:rPr>
        <w:t>się nadążając za potrzebami klientów i zmieniającą się rzeczywistością.</w:t>
      </w:r>
    </w:p>
    <w:p w14:paraId="71F3889A" w14:textId="77777777" w:rsidR="006A11F4" w:rsidRPr="00B825F8" w:rsidRDefault="006A11F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en-US"/>
        </w:rPr>
      </w:pPr>
    </w:p>
    <w:p w14:paraId="1FAA89C6" w14:textId="27D24FB8" w:rsidR="00645024" w:rsidRDefault="00857256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– </w:t>
      </w:r>
      <w:r w:rsidR="002C4A74" w:rsidRPr="002C4A74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:lang w:eastAsia="en-US"/>
        </w:rPr>
        <w:t>Zgodnie z danymi PRCH, j</w:t>
      </w:r>
      <w:r w:rsidR="00645024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uż teraz właściciele obiektów handlowych i </w:t>
      </w:r>
      <w:r w:rsidR="00011B0E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zarządcy </w:t>
      </w:r>
      <w:r w:rsidR="00645024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>inwestują około 1 mld PLN w</w:t>
      </w:r>
      <w:r w:rsidR="00011B0E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 inwestycje</w:t>
      </w:r>
      <w:r w:rsidR="00645024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 fit-outowe,</w:t>
      </w:r>
      <w:r w:rsidR="00011B0E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 obejmujące wykończenie sklepów dla najemców oraz remonty, m</w:t>
      </w:r>
      <w:r w:rsidR="00B825F8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>o</w:t>
      </w:r>
      <w:r w:rsidR="00011B0E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>dernizację, rozbudowy</w:t>
      </w:r>
      <w:r w:rsidR="00645024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 przeprowadzane na powierzchniach wspólnych</w:t>
      </w:r>
      <w:r w:rsidR="00011B0E" w:rsidRP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>.</w:t>
      </w:r>
      <w:r w:rsidR="002C4A74">
        <w:rPr>
          <w:rFonts w:ascii="Calibri" w:eastAsia="Times New Roman" w:hAnsi="Calibri" w:cs="Calibri"/>
          <w:i/>
          <w:iCs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r w:rsidR="00011B0E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>T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a kwota będzie z pewnością rosła w okresie </w:t>
      </w:r>
      <w:r w:rsidR="00A56278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>po pandemii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. Dlatego razem z Polską Radą Centrów Handlowych przygotowaliśmy publikację dotyczącą przebudów i modernizacji, które, </w:t>
      </w:r>
      <w:r w:rsidR="00A56278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>jak wiele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 na to wskazuje, są przyszłością, szansą na „nowe otwarcie” dla</w:t>
      </w:r>
      <w:r w:rsidR="00A56278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>istniejących obiektów</w:t>
      </w:r>
      <w:r w:rsidRPr="00B825F8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en-US"/>
        </w:rPr>
        <w:t xml:space="preserve">– mówi </w:t>
      </w:r>
      <w:r w:rsidR="00645024" w:rsidRPr="00B825F8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  <w:t>Lucyna Śliż, Head of Development, Reesco Retail.</w:t>
      </w:r>
    </w:p>
    <w:p w14:paraId="4A4918CA" w14:textId="7148DA24" w:rsidR="00851FCB" w:rsidRDefault="00851FCB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12E59257" w14:textId="0C2BBF71" w:rsidR="00851FCB" w:rsidRDefault="00851FCB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37CB2C84" w14:textId="4852BE0D" w:rsidR="00851FCB" w:rsidRDefault="00851FCB" w:rsidP="00851FCB">
      <w:pPr>
        <w:widowControl/>
        <w:suppressAutoHyphens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Raport jest dostępny </w:t>
      </w:r>
      <w:hyperlink r:id="rId11" w:history="1">
        <w:r w:rsidRPr="00D3656E">
          <w:rPr>
            <w:rStyle w:val="Hipercze"/>
            <w:rFonts w:ascii="Calibri" w:eastAsia="Times New Roman" w:hAnsi="Calibri" w:cs="Calibri"/>
            <w:b/>
            <w:bCs/>
            <w:kern w:val="0"/>
            <w:sz w:val="22"/>
            <w:szCs w:val="22"/>
            <w:lang w:eastAsia="en-US"/>
          </w:rPr>
          <w:t>tutaj</w:t>
        </w:r>
      </w:hyperlink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. </w:t>
      </w:r>
    </w:p>
    <w:p w14:paraId="055C0F7F" w14:textId="77777777" w:rsidR="00851FCB" w:rsidRPr="00B825F8" w:rsidRDefault="00851FCB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6C743676" w14:textId="77777777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/>
        </w:rPr>
      </w:pPr>
    </w:p>
    <w:p w14:paraId="2D75925F" w14:textId="618268EC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Dynamika otwarć centrów handlowych w Polsce 1994-2021</w:t>
      </w:r>
    </w:p>
    <w:p w14:paraId="127D096D" w14:textId="2DA73426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(na podstawie danych własnych Polskiej Rady Centrów Handlowych)</w:t>
      </w:r>
      <w:r w:rsidR="008354FC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>- wykres:</w:t>
      </w:r>
    </w:p>
    <w:p w14:paraId="61DF55F0" w14:textId="77777777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</w:pPr>
    </w:p>
    <w:p w14:paraId="4FF0D2FF" w14:textId="77777777" w:rsidR="00645024" w:rsidRPr="00B825F8" w:rsidRDefault="00645024" w:rsidP="00645024">
      <w:pPr>
        <w:widowControl/>
        <w:suppressAutoHyphens w:val="0"/>
        <w:spacing w:line="240" w:lineRule="auto"/>
        <w:rPr>
          <w:rFonts w:ascii="Calibri" w:eastAsia="Times New Roman" w:hAnsi="Calibri" w:cs="Calibri"/>
          <w:kern w:val="0"/>
          <w:sz w:val="22"/>
          <w:szCs w:val="22"/>
          <w:lang w:eastAsia="en-US"/>
        </w:rPr>
      </w:pPr>
      <w:r w:rsidRPr="00B825F8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en-US"/>
        </w:rPr>
        <w:lastRenderedPageBreak/>
        <w:drawing>
          <wp:inline distT="0" distB="0" distL="0" distR="0" wp14:anchorId="34C1EF69" wp14:editId="0F0A670A">
            <wp:extent cx="5638800" cy="3384550"/>
            <wp:effectExtent l="0" t="0" r="0" b="635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4DB4F4F" w14:textId="77777777" w:rsidR="00645024" w:rsidRPr="00B825F8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/>
        </w:rPr>
      </w:pPr>
    </w:p>
    <w:p w14:paraId="4C7E7F43" w14:textId="77777777" w:rsidR="00645024" w:rsidRPr="00857256" w:rsidRDefault="00645024" w:rsidP="00645024">
      <w:pPr>
        <w:widowControl/>
        <w:shd w:val="clear" w:color="auto" w:fill="FFFFFF"/>
        <w:suppressAutoHyphens w:val="0"/>
        <w:spacing w:before="150" w:after="15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14:paraId="2BE506F5" w14:textId="77777777" w:rsidR="00645024" w:rsidRPr="00857256" w:rsidRDefault="00645024" w:rsidP="00645024">
      <w:pPr>
        <w:widowControl/>
        <w:suppressAutoHyphens w:val="0"/>
        <w:spacing w:line="240" w:lineRule="auto"/>
        <w:jc w:val="center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 w:rsidRPr="0085725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***</w:t>
      </w:r>
    </w:p>
    <w:p w14:paraId="0C48A1C6" w14:textId="77777777" w:rsidR="00645024" w:rsidRPr="00B0447E" w:rsidRDefault="00645024" w:rsidP="00645024">
      <w:pPr>
        <w:widowControl/>
        <w:suppressAutoHyphens w:val="0"/>
        <w:spacing w:line="240" w:lineRule="auto"/>
        <w:jc w:val="both"/>
        <w:rPr>
          <w:rFonts w:ascii="Calibri" w:eastAsia="Calibri" w:hAnsi="Calibri" w:cs="Calibri"/>
          <w:i/>
          <w:iCs/>
          <w:color w:val="000000"/>
          <w:kern w:val="0"/>
          <w:sz w:val="22"/>
          <w:szCs w:val="22"/>
          <w:lang w:eastAsia="en-US"/>
        </w:rPr>
      </w:pPr>
      <w:r w:rsidRPr="00A56278">
        <w:rPr>
          <w:rFonts w:ascii="Calibri" w:eastAsia="Calibri" w:hAnsi="Calibri" w:cs="Calibri"/>
          <w:b/>
          <w:bCs/>
          <w:i/>
          <w:iCs/>
          <w:color w:val="000000"/>
          <w:kern w:val="0"/>
          <w:sz w:val="22"/>
          <w:szCs w:val="22"/>
          <w:lang w:eastAsia="en-US"/>
        </w:rPr>
        <w:t>Polska Rada Centrów Handlowych (PRCH)</w:t>
      </w:r>
      <w:r w:rsidRPr="00A56278">
        <w:rPr>
          <w:rFonts w:ascii="Calibri" w:eastAsia="Calibri" w:hAnsi="Calibri" w:cs="Calibri"/>
          <w:i/>
          <w:iCs/>
          <w:color w:val="000000"/>
          <w:kern w:val="0"/>
          <w:sz w:val="22"/>
          <w:szCs w:val="22"/>
          <w:lang w:eastAsia="en-US"/>
        </w:rPr>
        <w:t xml:space="preserve"> jest stowarzyszeniem not-for-profit, zrzeszającym blisko 200 firm działających w branży miejsc handlu i usług. To wiodąca organizacja pozarządowa, działająca na rzecz rozwoju branży, wspierająca i reprezentująca członków w środowisku biznesowym, politycznym i społecznym w celu tworzenia nowoczesnych miejsc handlu, usług, kultury i unikatowych doświadczeń konsumenckich.</w:t>
      </w:r>
    </w:p>
    <w:p w14:paraId="5972E851" w14:textId="77777777" w:rsidR="00645024" w:rsidRPr="00B0447E" w:rsidRDefault="00645024" w:rsidP="00645024">
      <w:pPr>
        <w:widowControl/>
        <w:suppressAutoHyphens w:val="0"/>
        <w:spacing w:line="240" w:lineRule="auto"/>
        <w:jc w:val="both"/>
        <w:rPr>
          <w:rFonts w:ascii="Calibri" w:eastAsia="Calibri" w:hAnsi="Calibri" w:cs="Calibri"/>
          <w:i/>
          <w:iCs/>
          <w:color w:val="000000"/>
          <w:kern w:val="0"/>
          <w:sz w:val="22"/>
          <w:szCs w:val="22"/>
          <w:lang w:eastAsia="en-US"/>
        </w:rPr>
      </w:pPr>
    </w:p>
    <w:p w14:paraId="28475EE4" w14:textId="77777777" w:rsidR="00645024" w:rsidRPr="00B0447E" w:rsidRDefault="00645024" w:rsidP="008354FC">
      <w:pPr>
        <w:widowControl/>
        <w:suppressAutoHyphens w:val="0"/>
        <w:spacing w:line="240" w:lineRule="auto"/>
        <w:jc w:val="center"/>
        <w:rPr>
          <w:rFonts w:ascii="Lato" w:eastAsia="Times New Roman" w:hAnsi="Lato"/>
          <w:kern w:val="0"/>
          <w:sz w:val="22"/>
          <w:szCs w:val="20"/>
          <w:lang w:eastAsia="en-US"/>
        </w:rPr>
      </w:pPr>
      <w:r w:rsidRPr="00B0447E">
        <w:rPr>
          <w:rFonts w:ascii="Lato" w:eastAsia="Times New Roman" w:hAnsi="Lato"/>
          <w:kern w:val="0"/>
          <w:sz w:val="18"/>
          <w:szCs w:val="18"/>
          <w:lang w:eastAsia="en-US"/>
        </w:rPr>
        <w:t>***</w:t>
      </w:r>
    </w:p>
    <w:p w14:paraId="55102725" w14:textId="77777777" w:rsidR="00645024" w:rsidRPr="00B0447E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0"/>
          <w:lang w:eastAsia="en-US"/>
        </w:rPr>
      </w:pPr>
      <w:r w:rsidRPr="00B0447E">
        <w:rPr>
          <w:rFonts w:ascii="Calibri" w:eastAsia="Times New Roman" w:hAnsi="Calibri" w:cs="Calibri"/>
          <w:b/>
          <w:bCs/>
          <w:kern w:val="0"/>
          <w:sz w:val="18"/>
          <w:szCs w:val="18"/>
          <w:lang w:eastAsia="en-US"/>
        </w:rPr>
        <w:t xml:space="preserve">O Reesco Retail </w:t>
      </w:r>
    </w:p>
    <w:p w14:paraId="67BA99DF" w14:textId="77777777" w:rsidR="00645024" w:rsidRPr="00B0447E" w:rsidRDefault="00645024" w:rsidP="00645024">
      <w:pPr>
        <w:widowControl/>
        <w:suppressAutoHyphens w:val="0"/>
        <w:spacing w:line="240" w:lineRule="auto"/>
        <w:jc w:val="both"/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</w:pPr>
      <w:r w:rsidRPr="00B0447E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/>
        </w:rPr>
        <w:t>Reesco Retail specjalizuje się w budowaniu i przebudowywaniu powierzchni handlowych. Zespół posiada wiedzę i doświadczenie, aby zarządzać całym procesem - od studium wykonalności, przez prace budowlane, po wręczenie kluczy. Doradza klientom, kosztorysuje i kontroluje koszty budowy, a także projektuje, nadzoruje i wykonuje prace budowlane (design &amp; build). Reesco Retail jest odpowiedzialne za kompleksową przebudowę CH Bonarka w Krakowie, a project managerowie kierowali przebudowami m.in. CH Arkadia w Warszawie, czy galerii Renoma we Wrocławiu oraz zrealizowali wnętrza w ponad 100 sklepach sieciowych, m.in. H&amp;M, Douglas i CCC/eobuwie.pl. Reesco Retail należy do Grupy Reesco, która w ciągu ostatnich 10 lat dostarczyła na rynek ponad 700 000 mkw. nowej przestrzeni biurowej, handlowej i hotelowej.</w:t>
      </w:r>
      <w:r w:rsidRPr="00B0447E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US"/>
        </w:rPr>
        <w:t xml:space="preserve"> </w:t>
      </w:r>
    </w:p>
    <w:p w14:paraId="655B0B64" w14:textId="77777777" w:rsidR="00FE7DAD" w:rsidRPr="00B0447E" w:rsidRDefault="00FE7DAD" w:rsidP="00645024">
      <w:pPr>
        <w:widowControl/>
        <w:suppressAutoHyphens w:val="0"/>
        <w:spacing w:line="240" w:lineRule="auto"/>
        <w:jc w:val="center"/>
        <w:rPr>
          <w:rFonts w:cstheme="minorHAnsi"/>
        </w:rPr>
      </w:pPr>
    </w:p>
    <w:sectPr w:rsidR="00FE7DAD" w:rsidRPr="00B0447E" w:rsidSect="00167FB5">
      <w:headerReference w:type="default" r:id="rId14"/>
      <w:footerReference w:type="default" r:id="rId15"/>
      <w:pgSz w:w="11905" w:h="16837"/>
      <w:pgMar w:top="1418" w:right="1531" w:bottom="2497" w:left="1701" w:header="708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6907" w14:textId="77777777" w:rsidR="00F04F23" w:rsidRDefault="00F04F23" w:rsidP="003F67C2">
      <w:pPr>
        <w:spacing w:line="240" w:lineRule="auto"/>
      </w:pPr>
      <w:r>
        <w:separator/>
      </w:r>
    </w:p>
  </w:endnote>
  <w:endnote w:type="continuationSeparator" w:id="0">
    <w:p w14:paraId="07FA39C1" w14:textId="77777777" w:rsidR="00F04F23" w:rsidRDefault="00F04F23" w:rsidP="003F6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lica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DA2" w14:textId="7FC284CC" w:rsidR="00256F44" w:rsidRDefault="00AC4E57" w:rsidP="00256F44">
    <w:pPr>
      <w:pStyle w:val="Stopka"/>
      <w:ind w:left="-142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9ECB9D" wp14:editId="17505466">
              <wp:simplePos x="0" y="0"/>
              <wp:positionH relativeFrom="column">
                <wp:posOffset>-1072515</wp:posOffset>
              </wp:positionH>
              <wp:positionV relativeFrom="paragraph">
                <wp:posOffset>-103506</wp:posOffset>
              </wp:positionV>
              <wp:extent cx="7711440" cy="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1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9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4.45pt;margin-top:-8.15pt;width:607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6CCD89" wp14:editId="47D52FE3">
              <wp:simplePos x="0" y="0"/>
              <wp:positionH relativeFrom="column">
                <wp:posOffset>3653790</wp:posOffset>
              </wp:positionH>
              <wp:positionV relativeFrom="paragraph">
                <wp:posOffset>33655</wp:posOffset>
              </wp:positionV>
              <wp:extent cx="2710815" cy="41084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016DAD" w14:textId="77777777" w:rsidR="00831CCC" w:rsidRPr="00831CCC" w:rsidRDefault="00831CCC" w:rsidP="00831CCC">
                          <w:pPr>
                            <w:spacing w:line="276" w:lineRule="auto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831CCC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12"/>
                            </w:rPr>
                            <w:t>Sąd Rejonowy dla m.st. Warszawy</w:t>
                          </w:r>
                          <w:r w:rsidRPr="00831CCC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12"/>
                            </w:rPr>
                            <w:br/>
                            <w:t>XIV Wydział Gospodarczy Krajowego Rejestru Sądowego</w:t>
                          </w:r>
                          <w:r w:rsidRPr="00831CCC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12"/>
                            </w:rPr>
                            <w:br/>
                            <w:t>KRS 0000227312, NIP 534-22-89-555, Regon 140066364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6CCD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7.7pt;margin-top:2.65pt;width:213.4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" stroked="f">
              <v:textbox style="mso-fit-shape-to-text:t">
                <w:txbxContent>
                  <w:p w14:paraId="4D016DAD" w14:textId="77777777" w:rsidR="00831CCC" w:rsidRPr="00831CCC" w:rsidRDefault="00831CCC" w:rsidP="00831CCC">
                    <w:pPr>
                      <w:spacing w:line="276" w:lineRule="auto"/>
                      <w:rPr>
                        <w:rFonts w:ascii="Verdana" w:hAnsi="Verdana"/>
                        <w:color w:val="404040" w:themeColor="text1" w:themeTint="BF"/>
                        <w:sz w:val="12"/>
                        <w:szCs w:val="12"/>
                      </w:rPr>
                    </w:pPr>
                    <w:r w:rsidRPr="00831CCC">
                      <w:rPr>
                        <w:rFonts w:ascii="Verdana" w:hAnsi="Verdana"/>
                        <w:color w:val="404040" w:themeColor="text1" w:themeTint="BF"/>
                        <w:sz w:val="12"/>
                        <w:szCs w:val="12"/>
                      </w:rPr>
                      <w:t>Sąd Rejonowy dla m.st. Warszawy</w:t>
                    </w:r>
                    <w:r w:rsidRPr="00831CCC">
                      <w:rPr>
                        <w:rFonts w:ascii="Verdana" w:hAnsi="Verdana"/>
                        <w:color w:val="404040" w:themeColor="text1" w:themeTint="BF"/>
                        <w:sz w:val="12"/>
                        <w:szCs w:val="12"/>
                      </w:rPr>
                      <w:br/>
                      <w:t>XIV Wydział Gospodarczy Krajowego Rejestru Sądowego</w:t>
                    </w:r>
                    <w:r w:rsidRPr="00831CCC">
                      <w:rPr>
                        <w:rFonts w:ascii="Verdana" w:hAnsi="Verdana"/>
                        <w:color w:val="404040" w:themeColor="text1" w:themeTint="BF"/>
                        <w:sz w:val="12"/>
                        <w:szCs w:val="12"/>
                      </w:rPr>
                      <w:br/>
                      <w:t>KRS 0000227312, NIP 534-22-89-555, Regon 140066364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1E8B6A" wp14:editId="22985237">
              <wp:simplePos x="0" y="0"/>
              <wp:positionH relativeFrom="column">
                <wp:posOffset>-146685</wp:posOffset>
              </wp:positionH>
              <wp:positionV relativeFrom="paragraph">
                <wp:posOffset>24130</wp:posOffset>
              </wp:positionV>
              <wp:extent cx="3796030" cy="41529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016DAE" w14:textId="77777777" w:rsidR="00831CCC" w:rsidRPr="003E4663" w:rsidRDefault="00831CCC" w:rsidP="00831CCC">
                          <w:pPr>
                            <w:spacing w:line="240" w:lineRule="au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E4663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  <w:lang w:val="en-US"/>
                            </w:rPr>
                            <w:t>Polska Rada Centrów Handlowych / Polish Council of Shopping Centres</w:t>
                          </w:r>
                        </w:p>
                        <w:p w14:paraId="4D016DAF" w14:textId="77777777" w:rsidR="00831CCC" w:rsidRPr="00831CCC" w:rsidRDefault="00831CCC" w:rsidP="00831CCC">
                          <w:pPr>
                            <w:spacing w:line="240" w:lineRule="auto"/>
                            <w:rPr>
                              <w:rFonts w:ascii="Verdana" w:hAnsi="Verdana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31CCC">
                            <w:rPr>
                              <w:rFonts w:ascii="Verdana" w:hAnsi="Verdana"/>
                              <w:color w:val="404040" w:themeColor="text1" w:themeTint="BF"/>
                              <w:sz w:val="14"/>
                              <w:szCs w:val="14"/>
                            </w:rPr>
                            <w:t>ul. Nowogrodzka 50, 00-695 Warszawa</w:t>
                          </w:r>
                          <w:r w:rsidRPr="00831CCC">
                            <w:rPr>
                              <w:rFonts w:ascii="Verdana" w:hAnsi="Verdana"/>
                              <w:color w:val="404040" w:themeColor="text1" w:themeTint="BF"/>
                              <w:sz w:val="14"/>
                              <w:szCs w:val="14"/>
                            </w:rPr>
                            <w:br/>
                            <w:t>tel./fax: +48 22 629 23 81, e-mail: prch@prch.org.pl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E8B6A" id="_x0000_s1027" type="#_x0000_t202" style="position:absolute;left:0;text-align:left;margin-left:-11.55pt;margin-top:1.9pt;width:298.9pt;height:32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" stroked="f">
              <v:textbox style="mso-fit-shape-to-text:t">
                <w:txbxContent>
                  <w:p w14:paraId="4D016DAE" w14:textId="77777777" w:rsidR="00831CCC" w:rsidRPr="003E4663" w:rsidRDefault="00831CCC" w:rsidP="00831CCC">
                    <w:pPr>
                      <w:spacing w:line="240" w:lineRule="auto"/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  <w:lang w:val="en-US"/>
                      </w:rPr>
                    </w:pPr>
                    <w:r w:rsidRPr="003E4663"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  <w:lang w:val="en-US"/>
                      </w:rPr>
                      <w:t>Polska Rada Centrów Handlowych / Polish Council of Shopping Centres</w:t>
                    </w:r>
                  </w:p>
                  <w:p w14:paraId="4D016DAF" w14:textId="77777777" w:rsidR="00831CCC" w:rsidRPr="00831CCC" w:rsidRDefault="00831CCC" w:rsidP="00831CCC">
                    <w:pPr>
                      <w:spacing w:line="240" w:lineRule="auto"/>
                      <w:rPr>
                        <w:rFonts w:ascii="Verdana" w:hAnsi="Verdana"/>
                        <w:color w:val="404040" w:themeColor="text1" w:themeTint="BF"/>
                        <w:sz w:val="14"/>
                        <w:szCs w:val="14"/>
                      </w:rPr>
                    </w:pPr>
                    <w:r w:rsidRPr="00831CCC">
                      <w:rPr>
                        <w:rFonts w:ascii="Verdana" w:hAnsi="Verdana"/>
                        <w:color w:val="404040" w:themeColor="text1" w:themeTint="BF"/>
                        <w:sz w:val="14"/>
                        <w:szCs w:val="14"/>
                      </w:rPr>
                      <w:t>ul. Nowogrodzka 50, 00-695 Warszawa</w:t>
                    </w:r>
                    <w:r w:rsidRPr="00831CCC">
                      <w:rPr>
                        <w:rFonts w:ascii="Verdana" w:hAnsi="Verdana"/>
                        <w:color w:val="404040" w:themeColor="text1" w:themeTint="BF"/>
                        <w:sz w:val="14"/>
                        <w:szCs w:val="14"/>
                      </w:rPr>
                      <w:br/>
                      <w:t>tel./fax: +48 22 629 23 81, e-mail: prch@prch.org.pl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8A2D" w14:textId="77777777" w:rsidR="00F04F23" w:rsidRDefault="00F04F23" w:rsidP="003F67C2">
      <w:pPr>
        <w:spacing w:line="240" w:lineRule="auto"/>
      </w:pPr>
      <w:r>
        <w:separator/>
      </w:r>
    </w:p>
  </w:footnote>
  <w:footnote w:type="continuationSeparator" w:id="0">
    <w:p w14:paraId="2FCCCD09" w14:textId="77777777" w:rsidR="00F04F23" w:rsidRDefault="00F04F23" w:rsidP="003F6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DA0" w14:textId="52E3E85A" w:rsidR="003F67C2" w:rsidRDefault="00D742D3" w:rsidP="00C63438">
    <w:pPr>
      <w:pStyle w:val="Nagwek"/>
      <w:ind w:left="-127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016DA5" wp14:editId="6AC7B27F">
          <wp:simplePos x="0" y="0"/>
          <wp:positionH relativeFrom="column">
            <wp:posOffset>-153035</wp:posOffset>
          </wp:positionH>
          <wp:positionV relativeFrom="paragraph">
            <wp:posOffset>325120</wp:posOffset>
          </wp:positionV>
          <wp:extent cx="2440940" cy="64897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438">
      <w:t xml:space="preserve">  </w:t>
    </w:r>
    <w:r w:rsidR="00C63438">
      <w:tab/>
      <w:t xml:space="preserve">   </w:t>
    </w:r>
    <w:r w:rsidR="00C63438">
      <w:rPr>
        <w:noProof/>
      </w:rPr>
      <w:t xml:space="preserve">                     </w:t>
    </w:r>
    <w:r w:rsidR="00C63438">
      <w:rPr>
        <w:noProof/>
      </w:rPr>
      <w:drawing>
        <wp:inline distT="0" distB="0" distL="0" distR="0" wp14:anchorId="0476386F" wp14:editId="6F8D9AEB">
          <wp:extent cx="2224325" cy="963797"/>
          <wp:effectExtent l="0" t="0" r="508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794" cy="982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71EB"/>
    <w:multiLevelType w:val="hybridMultilevel"/>
    <w:tmpl w:val="F2DC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C2"/>
    <w:rsid w:val="00011B0E"/>
    <w:rsid w:val="00012E5E"/>
    <w:rsid w:val="00051904"/>
    <w:rsid w:val="00051A68"/>
    <w:rsid w:val="000563D2"/>
    <w:rsid w:val="0006047B"/>
    <w:rsid w:val="00083825"/>
    <w:rsid w:val="00084145"/>
    <w:rsid w:val="00096099"/>
    <w:rsid w:val="0009786B"/>
    <w:rsid w:val="000B3BFF"/>
    <w:rsid w:val="000B6912"/>
    <w:rsid w:val="000C12BA"/>
    <w:rsid w:val="000E4DA0"/>
    <w:rsid w:val="000E6997"/>
    <w:rsid w:val="000E7A64"/>
    <w:rsid w:val="000F1318"/>
    <w:rsid w:val="000F41FD"/>
    <w:rsid w:val="0010705C"/>
    <w:rsid w:val="00123D17"/>
    <w:rsid w:val="00125E28"/>
    <w:rsid w:val="0013267A"/>
    <w:rsid w:val="0013771D"/>
    <w:rsid w:val="001409D4"/>
    <w:rsid w:val="001517C3"/>
    <w:rsid w:val="00161E40"/>
    <w:rsid w:val="00167FB5"/>
    <w:rsid w:val="001722AE"/>
    <w:rsid w:val="00173861"/>
    <w:rsid w:val="0017400C"/>
    <w:rsid w:val="0017475E"/>
    <w:rsid w:val="00174EC5"/>
    <w:rsid w:val="00194D82"/>
    <w:rsid w:val="001966EE"/>
    <w:rsid w:val="001A07A9"/>
    <w:rsid w:val="001A2F18"/>
    <w:rsid w:val="001A6F8C"/>
    <w:rsid w:val="001B137D"/>
    <w:rsid w:val="001C1574"/>
    <w:rsid w:val="001E3BDD"/>
    <w:rsid w:val="001F7AFC"/>
    <w:rsid w:val="001F7BCA"/>
    <w:rsid w:val="00201CDD"/>
    <w:rsid w:val="00210063"/>
    <w:rsid w:val="00247D58"/>
    <w:rsid w:val="002500AD"/>
    <w:rsid w:val="00252D5F"/>
    <w:rsid w:val="00256F44"/>
    <w:rsid w:val="0026798C"/>
    <w:rsid w:val="00283CF4"/>
    <w:rsid w:val="002957E4"/>
    <w:rsid w:val="00296522"/>
    <w:rsid w:val="002B48C4"/>
    <w:rsid w:val="002B4AB3"/>
    <w:rsid w:val="002C2EE9"/>
    <w:rsid w:val="002C4A74"/>
    <w:rsid w:val="002D231D"/>
    <w:rsid w:val="002E0165"/>
    <w:rsid w:val="002E372A"/>
    <w:rsid w:val="002F0486"/>
    <w:rsid w:val="002F11D3"/>
    <w:rsid w:val="002F4BA8"/>
    <w:rsid w:val="002F5E6D"/>
    <w:rsid w:val="00314FA3"/>
    <w:rsid w:val="0032791D"/>
    <w:rsid w:val="0033303B"/>
    <w:rsid w:val="00333D55"/>
    <w:rsid w:val="00334EC2"/>
    <w:rsid w:val="00335AB9"/>
    <w:rsid w:val="00346611"/>
    <w:rsid w:val="003529DF"/>
    <w:rsid w:val="00355EF6"/>
    <w:rsid w:val="0037234B"/>
    <w:rsid w:val="003736DE"/>
    <w:rsid w:val="00392491"/>
    <w:rsid w:val="00396A6C"/>
    <w:rsid w:val="0039729F"/>
    <w:rsid w:val="003A5DF0"/>
    <w:rsid w:val="003C3748"/>
    <w:rsid w:val="003C4EEB"/>
    <w:rsid w:val="003C73AF"/>
    <w:rsid w:val="003D7F97"/>
    <w:rsid w:val="003E111D"/>
    <w:rsid w:val="003E2A31"/>
    <w:rsid w:val="003E30E6"/>
    <w:rsid w:val="003E4663"/>
    <w:rsid w:val="003E61B2"/>
    <w:rsid w:val="003F67C2"/>
    <w:rsid w:val="003F78CB"/>
    <w:rsid w:val="003F7CCC"/>
    <w:rsid w:val="0041236B"/>
    <w:rsid w:val="004145D0"/>
    <w:rsid w:val="0042294E"/>
    <w:rsid w:val="00442BD2"/>
    <w:rsid w:val="0046703C"/>
    <w:rsid w:val="00467FB4"/>
    <w:rsid w:val="00472179"/>
    <w:rsid w:val="004748A3"/>
    <w:rsid w:val="00477E87"/>
    <w:rsid w:val="00484478"/>
    <w:rsid w:val="00484F78"/>
    <w:rsid w:val="0049050A"/>
    <w:rsid w:val="00495CFD"/>
    <w:rsid w:val="004A4321"/>
    <w:rsid w:val="004A7C75"/>
    <w:rsid w:val="004A7C91"/>
    <w:rsid w:val="004C1E39"/>
    <w:rsid w:val="004C6AE7"/>
    <w:rsid w:val="004E0778"/>
    <w:rsid w:val="004E1CD3"/>
    <w:rsid w:val="004F24A4"/>
    <w:rsid w:val="004F46B8"/>
    <w:rsid w:val="00500E9D"/>
    <w:rsid w:val="005341F3"/>
    <w:rsid w:val="00540D24"/>
    <w:rsid w:val="00547EE4"/>
    <w:rsid w:val="00557B84"/>
    <w:rsid w:val="00567E51"/>
    <w:rsid w:val="0057368C"/>
    <w:rsid w:val="005755BC"/>
    <w:rsid w:val="005874F5"/>
    <w:rsid w:val="00592E6B"/>
    <w:rsid w:val="005A5913"/>
    <w:rsid w:val="005A6D3F"/>
    <w:rsid w:val="005B5619"/>
    <w:rsid w:val="005C3832"/>
    <w:rsid w:val="005D3577"/>
    <w:rsid w:val="005D3B89"/>
    <w:rsid w:val="005D5B69"/>
    <w:rsid w:val="005E0A93"/>
    <w:rsid w:val="005E0AB1"/>
    <w:rsid w:val="005E58FD"/>
    <w:rsid w:val="006252A5"/>
    <w:rsid w:val="00626E27"/>
    <w:rsid w:val="00636ED8"/>
    <w:rsid w:val="0064214A"/>
    <w:rsid w:val="00645024"/>
    <w:rsid w:val="00651B02"/>
    <w:rsid w:val="006617E5"/>
    <w:rsid w:val="00672E8C"/>
    <w:rsid w:val="00681EDF"/>
    <w:rsid w:val="006860DF"/>
    <w:rsid w:val="00692AAA"/>
    <w:rsid w:val="006939A2"/>
    <w:rsid w:val="006944F6"/>
    <w:rsid w:val="006A11F4"/>
    <w:rsid w:val="006A448D"/>
    <w:rsid w:val="006A45B2"/>
    <w:rsid w:val="006B556F"/>
    <w:rsid w:val="006C1501"/>
    <w:rsid w:val="006C635F"/>
    <w:rsid w:val="006F20FA"/>
    <w:rsid w:val="007038C7"/>
    <w:rsid w:val="007054C6"/>
    <w:rsid w:val="00716226"/>
    <w:rsid w:val="007168A8"/>
    <w:rsid w:val="007257D5"/>
    <w:rsid w:val="0072659F"/>
    <w:rsid w:val="007270D1"/>
    <w:rsid w:val="007420B8"/>
    <w:rsid w:val="007546A9"/>
    <w:rsid w:val="007576A0"/>
    <w:rsid w:val="00766B70"/>
    <w:rsid w:val="0078008E"/>
    <w:rsid w:val="00793506"/>
    <w:rsid w:val="00796843"/>
    <w:rsid w:val="0079788F"/>
    <w:rsid w:val="007A1796"/>
    <w:rsid w:val="007A58F1"/>
    <w:rsid w:val="007C1E66"/>
    <w:rsid w:val="007C4E44"/>
    <w:rsid w:val="007C65FE"/>
    <w:rsid w:val="007E0AC5"/>
    <w:rsid w:val="007E0CF9"/>
    <w:rsid w:val="007E1A73"/>
    <w:rsid w:val="00805672"/>
    <w:rsid w:val="008237FB"/>
    <w:rsid w:val="00824938"/>
    <w:rsid w:val="00827AB6"/>
    <w:rsid w:val="00831CCC"/>
    <w:rsid w:val="008354FC"/>
    <w:rsid w:val="00835F94"/>
    <w:rsid w:val="008374AC"/>
    <w:rsid w:val="00847244"/>
    <w:rsid w:val="00851FCB"/>
    <w:rsid w:val="00852E93"/>
    <w:rsid w:val="00857256"/>
    <w:rsid w:val="00857BEF"/>
    <w:rsid w:val="00861601"/>
    <w:rsid w:val="00862389"/>
    <w:rsid w:val="00875098"/>
    <w:rsid w:val="008758A9"/>
    <w:rsid w:val="008A0183"/>
    <w:rsid w:val="008A2629"/>
    <w:rsid w:val="008C08EC"/>
    <w:rsid w:val="008C2482"/>
    <w:rsid w:val="008F40E0"/>
    <w:rsid w:val="00933D7A"/>
    <w:rsid w:val="00935CAF"/>
    <w:rsid w:val="00935D7B"/>
    <w:rsid w:val="00940116"/>
    <w:rsid w:val="009407C6"/>
    <w:rsid w:val="00944CA6"/>
    <w:rsid w:val="009556EE"/>
    <w:rsid w:val="00970677"/>
    <w:rsid w:val="0098080B"/>
    <w:rsid w:val="0098365A"/>
    <w:rsid w:val="00983AE8"/>
    <w:rsid w:val="00993533"/>
    <w:rsid w:val="009A4EFD"/>
    <w:rsid w:val="009B17CF"/>
    <w:rsid w:val="009B5D5A"/>
    <w:rsid w:val="009B7393"/>
    <w:rsid w:val="009C265D"/>
    <w:rsid w:val="009C5524"/>
    <w:rsid w:val="009E5416"/>
    <w:rsid w:val="009F68EE"/>
    <w:rsid w:val="00A03D18"/>
    <w:rsid w:val="00A150A7"/>
    <w:rsid w:val="00A164B1"/>
    <w:rsid w:val="00A1686F"/>
    <w:rsid w:val="00A17DA3"/>
    <w:rsid w:val="00A22F1B"/>
    <w:rsid w:val="00A30B70"/>
    <w:rsid w:val="00A46051"/>
    <w:rsid w:val="00A56278"/>
    <w:rsid w:val="00A65901"/>
    <w:rsid w:val="00A67853"/>
    <w:rsid w:val="00A74137"/>
    <w:rsid w:val="00A91D2C"/>
    <w:rsid w:val="00A923D8"/>
    <w:rsid w:val="00AA3CE9"/>
    <w:rsid w:val="00AB72BB"/>
    <w:rsid w:val="00AC1531"/>
    <w:rsid w:val="00AC4E57"/>
    <w:rsid w:val="00AE0DE0"/>
    <w:rsid w:val="00AE6AB3"/>
    <w:rsid w:val="00AF48D4"/>
    <w:rsid w:val="00B0447E"/>
    <w:rsid w:val="00B072AA"/>
    <w:rsid w:val="00B13DAA"/>
    <w:rsid w:val="00B24955"/>
    <w:rsid w:val="00B30367"/>
    <w:rsid w:val="00B37F59"/>
    <w:rsid w:val="00B62DF5"/>
    <w:rsid w:val="00B630BA"/>
    <w:rsid w:val="00B66FC6"/>
    <w:rsid w:val="00B71B35"/>
    <w:rsid w:val="00B80FD8"/>
    <w:rsid w:val="00B82397"/>
    <w:rsid w:val="00B825F8"/>
    <w:rsid w:val="00B83EC5"/>
    <w:rsid w:val="00B85A02"/>
    <w:rsid w:val="00B91349"/>
    <w:rsid w:val="00B918C8"/>
    <w:rsid w:val="00BB0714"/>
    <w:rsid w:val="00BB3632"/>
    <w:rsid w:val="00BB7C6A"/>
    <w:rsid w:val="00BC05C1"/>
    <w:rsid w:val="00BE64AB"/>
    <w:rsid w:val="00BF0BD8"/>
    <w:rsid w:val="00BF5D90"/>
    <w:rsid w:val="00C12838"/>
    <w:rsid w:val="00C155F1"/>
    <w:rsid w:val="00C262EF"/>
    <w:rsid w:val="00C55B8C"/>
    <w:rsid w:val="00C60ABF"/>
    <w:rsid w:val="00C63438"/>
    <w:rsid w:val="00C74177"/>
    <w:rsid w:val="00C8797F"/>
    <w:rsid w:val="00C90A4B"/>
    <w:rsid w:val="00CA21B4"/>
    <w:rsid w:val="00CB75C6"/>
    <w:rsid w:val="00CC799F"/>
    <w:rsid w:val="00CF4112"/>
    <w:rsid w:val="00D00B63"/>
    <w:rsid w:val="00D02D12"/>
    <w:rsid w:val="00D042FB"/>
    <w:rsid w:val="00D138C6"/>
    <w:rsid w:val="00D3656E"/>
    <w:rsid w:val="00D42C48"/>
    <w:rsid w:val="00D459B2"/>
    <w:rsid w:val="00D4794D"/>
    <w:rsid w:val="00D56EB5"/>
    <w:rsid w:val="00D742D3"/>
    <w:rsid w:val="00D869D0"/>
    <w:rsid w:val="00DA234B"/>
    <w:rsid w:val="00DA7814"/>
    <w:rsid w:val="00DB011D"/>
    <w:rsid w:val="00DB0F94"/>
    <w:rsid w:val="00DB3DAB"/>
    <w:rsid w:val="00DC09DC"/>
    <w:rsid w:val="00DE5664"/>
    <w:rsid w:val="00DF133A"/>
    <w:rsid w:val="00E0015A"/>
    <w:rsid w:val="00E032DE"/>
    <w:rsid w:val="00E22423"/>
    <w:rsid w:val="00E26BDB"/>
    <w:rsid w:val="00E35602"/>
    <w:rsid w:val="00E40C62"/>
    <w:rsid w:val="00E412E2"/>
    <w:rsid w:val="00E60895"/>
    <w:rsid w:val="00E62A76"/>
    <w:rsid w:val="00E806B4"/>
    <w:rsid w:val="00E84351"/>
    <w:rsid w:val="00EA3EF0"/>
    <w:rsid w:val="00EA3F1D"/>
    <w:rsid w:val="00EB6028"/>
    <w:rsid w:val="00EB6583"/>
    <w:rsid w:val="00ED24DA"/>
    <w:rsid w:val="00F018D7"/>
    <w:rsid w:val="00F04F23"/>
    <w:rsid w:val="00F21704"/>
    <w:rsid w:val="00F31B3F"/>
    <w:rsid w:val="00F31DB3"/>
    <w:rsid w:val="00F32CCB"/>
    <w:rsid w:val="00F61E4A"/>
    <w:rsid w:val="00F80A7B"/>
    <w:rsid w:val="00F912FB"/>
    <w:rsid w:val="00F92A29"/>
    <w:rsid w:val="00FA2350"/>
    <w:rsid w:val="00FB16E6"/>
    <w:rsid w:val="00FB2AA8"/>
    <w:rsid w:val="00FB7134"/>
    <w:rsid w:val="00FC0C21"/>
    <w:rsid w:val="00FC733B"/>
    <w:rsid w:val="00FD53BF"/>
    <w:rsid w:val="00FE3AC9"/>
    <w:rsid w:val="00FE7DAD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016D9A"/>
  <w15:docId w15:val="{5A74DA07-7529-4F7B-817A-3370DD8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E0"/>
    <w:pPr>
      <w:widowControl w:val="0"/>
      <w:suppressAutoHyphens/>
      <w:spacing w:line="360" w:lineRule="auto"/>
    </w:pPr>
    <w:rPr>
      <w:rFonts w:ascii="Replica-Light" w:eastAsia="Arial" w:hAnsi="Replica-Light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BFF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AE0D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E0DE0"/>
    <w:pPr>
      <w:spacing w:after="120"/>
    </w:pPr>
  </w:style>
  <w:style w:type="paragraph" w:styleId="Lista">
    <w:name w:val="List"/>
    <w:basedOn w:val="Tekstpodstawowy"/>
    <w:rsid w:val="00AE0DE0"/>
    <w:rPr>
      <w:rFonts w:cs="Tahoma"/>
    </w:rPr>
  </w:style>
  <w:style w:type="paragraph" w:customStyle="1" w:styleId="Legenda1">
    <w:name w:val="Legenda1"/>
    <w:basedOn w:val="Normalny"/>
    <w:rsid w:val="00AE0DE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AE0DE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3F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67C2"/>
    <w:rPr>
      <w:rFonts w:ascii="Replica-Light" w:eastAsia="Arial" w:hAnsi="Replica-Light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67C2"/>
    <w:rPr>
      <w:rFonts w:ascii="Replica-Light" w:eastAsia="Arial" w:hAnsi="Replica-Light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D3"/>
    <w:rPr>
      <w:rFonts w:ascii="Tahoma" w:eastAsia="Arial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1C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CDD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</w:rPr>
  </w:style>
  <w:style w:type="character" w:styleId="Hipercze">
    <w:name w:val="Hyperlink"/>
    <w:rsid w:val="00201CDD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4C1E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C1E3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reebirdformviewerviewitemsitemrequiredasterisk">
    <w:name w:val="freebirdformviewerviewitemsitemrequiredasterisk"/>
    <w:basedOn w:val="Domylnaczcionkaakapitu"/>
    <w:rsid w:val="003E4663"/>
  </w:style>
  <w:style w:type="character" w:customStyle="1" w:styleId="docssharedwiztogglelabeledlabeltext">
    <w:name w:val="docssharedwiztogglelabeledlabeltext"/>
    <w:basedOn w:val="Domylnaczcionkaakapitu"/>
    <w:rsid w:val="003E46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2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2397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79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796"/>
    <w:rPr>
      <w:rFonts w:ascii="Replica-Light" w:eastAsia="Arial" w:hAnsi="Replica-Light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7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73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733B"/>
    <w:rPr>
      <w:rFonts w:ascii="Replica-Light" w:eastAsia="Arial" w:hAnsi="Replica-Light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3B"/>
    <w:rPr>
      <w:rFonts w:ascii="Replica-Light" w:eastAsia="Arial" w:hAnsi="Replica-Light"/>
      <w:b/>
      <w:bCs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0B3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71"/>
    <w:rsid w:val="00C63438"/>
    <w:rPr>
      <w:rFonts w:ascii="Replica-Light" w:eastAsia="Arial" w:hAnsi="Replica-Light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8a74f3c8-8393-4cf7-ab9d-90a7ff1f7b3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ch.org.pl/pl/baza-wiedzy/20-publikacje/533-przebudowa-rozbudowa-modernizacja-dla-nieruchomosci-handlowy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D571A29775443AC6690DD2A95B846" ma:contentTypeVersion="9" ma:contentTypeDescription="Create a new document." ma:contentTypeScope="" ma:versionID="910e09d2b3303293f10a47d6e80ec25a">
  <xsd:schema xmlns:xsd="http://www.w3.org/2001/XMLSchema" xmlns:xs="http://www.w3.org/2001/XMLSchema" xmlns:p="http://schemas.microsoft.com/office/2006/metadata/properties" xmlns:ns3="87e94890-dab8-48c3-bac1-1445efc1e898" targetNamespace="http://schemas.microsoft.com/office/2006/metadata/properties" ma:root="true" ma:fieldsID="089e966cc9ffc83b1904cb6864903f37" ns3:_="">
    <xsd:import namespace="87e94890-dab8-48c3-bac1-1445efc1e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4890-dab8-48c3-bac1-1445efc1e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A529-324C-4DC9-A29D-92457E50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94890-dab8-48c3-bac1-1445efc1e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04A2A-CB97-4FF5-AB4F-CB0CC6DAF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2283D-DA63-4FD8-B055-776EFAC56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F45ED-9E95-41F3-A4CD-716F5583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osinkowska</dc:creator>
  <cp:keywords/>
  <dc:description/>
  <cp:lastModifiedBy>Iwona Gniedziejko-Płuciennik</cp:lastModifiedBy>
  <cp:revision>2</cp:revision>
  <cp:lastPrinted>2017-03-06T14:01:00Z</cp:lastPrinted>
  <dcterms:created xsi:type="dcterms:W3CDTF">2021-11-30T22:22:00Z</dcterms:created>
  <dcterms:modified xsi:type="dcterms:W3CDTF">2021-11-30T22:22:00Z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0x01010077ED571A29775443AC6690DD2A95B846</vt:lpwstr>
  </property>
</Properties>
</file>